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color w:val="000000"/>
          <w:sz w:val="52"/>
          <w:szCs w:val="52"/>
        </w:rPr>
      </w:pPr>
      <w:r>
        <w:rPr>
          <w:rFonts w:hint="eastAsia" w:ascii="方正小标宋简体" w:hAnsi="宋体" w:eastAsia="方正小标宋简体" w:cs="Times New Roman"/>
          <w:color w:val="FF0000"/>
          <w:sz w:val="44"/>
          <w:szCs w:val="44"/>
        </w:rPr>
        <w:pict>
          <v:shape id="_x0000_i1025" o:spt="136" type="#_x0000_t136" style="height:61.9pt;width:415.1pt;" fillcolor="#FF0000" filled="t" stroked="t" coordsize="21600,21600" adj="10800">
            <v:path/>
            <v:fill on="t" color2="#FFFFFF" focussize="0,0"/>
            <v:stroke color="#FF0000"/>
            <v:imagedata o:title=""/>
            <o:lock v:ext="edit" aspectratio="f"/>
            <v:textpath on="t" fitshape="t" fitpath="t" trim="t" xscale="f" string="齐齐哈尔市第一医院感染管理部文件" style="font-family:方正小标宋简体;font-size:36pt;v-text-align:center;"/>
            <w10:wrap type="none"/>
            <w10:anchorlock/>
          </v:shape>
        </w:pict>
      </w:r>
    </w:p>
    <w:p>
      <w:pPr>
        <w:spacing w:line="320" w:lineRule="exact"/>
        <w:textAlignment w:val="baseline"/>
        <w:rPr>
          <w:rFonts w:hint="eastAsia" w:ascii="仿宋_GB2312" w:hAnsi="宋体" w:eastAsia="仿宋_GB2312" w:cs="Times New Roman"/>
          <w:sz w:val="32"/>
        </w:rPr>
      </w:pPr>
      <w:bookmarkStart w:id="0" w:name="OLE_LINK2"/>
      <w:bookmarkStart w:id="1" w:name="OLE_LINK1"/>
    </w:p>
    <w:p>
      <w:pPr>
        <w:spacing w:line="320" w:lineRule="exact"/>
        <w:jc w:val="center"/>
        <w:textAlignment w:val="baseline"/>
        <w:rPr>
          <w:rFonts w:hint="eastAsia" w:ascii="仿宋_GB2312" w:hAnsi="宋体" w:eastAsia="仿宋_GB2312" w:cs="Times New Roman"/>
          <w:sz w:val="32"/>
        </w:rPr>
      </w:pPr>
      <w:r>
        <w:rPr>
          <w:rFonts w:hint="eastAsia" w:ascii="仿宋_GB2312" w:hAnsi="宋体" w:eastAsia="仿宋_GB2312" w:cs="Times New Roman"/>
          <w:sz w:val="32"/>
        </w:rPr>
        <w:t>齐一院</w:t>
      </w:r>
      <w:r>
        <w:rPr>
          <w:rFonts w:hint="eastAsia" w:ascii="仿宋_GB2312" w:hAnsi="宋体" w:eastAsia="仿宋_GB2312" w:cs="Times New Roman"/>
          <w:sz w:val="32"/>
          <w:lang w:val="en-US" w:eastAsia="zh-CN"/>
        </w:rPr>
        <w:t>感管部</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 xml:space="preserve">13 </w:t>
      </w:r>
      <w:r>
        <w:rPr>
          <w:rFonts w:hint="eastAsia" w:ascii="仿宋_GB2312" w:hAnsi="宋体" w:eastAsia="仿宋_GB2312" w:cs="Times New Roman"/>
          <w:sz w:val="32"/>
        </w:rPr>
        <w:t>号</w:t>
      </w:r>
    </w:p>
    <w:bookmarkEnd w:id="0"/>
    <w:bookmarkEnd w:id="1"/>
    <w:p>
      <w:pPr>
        <w:rPr>
          <w:rFonts w:hint="eastAsia" w:ascii="Calibri" w:hAnsi="Calibri" w:eastAsia="宋体" w:cs="Times New Roman"/>
          <w:b/>
          <w:sz w:val="44"/>
          <w:szCs w:val="44"/>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123190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9.7pt;height:0pt;width:441pt;z-index:251658240;mso-width-relative:page;mso-height-relative:page;" filled="f" stroked="t" coordsize="21600,21600" o:gfxdata="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v8d9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jc w:val="center"/>
        <w:rPr>
          <w:rFonts w:hint="default"/>
          <w:lang w:val="en-US" w:eastAsia="zh-CN"/>
        </w:rPr>
      </w:pPr>
      <w:r>
        <w:rPr>
          <w:rFonts w:hint="eastAsia" w:ascii="宋体" w:hAnsi="宋体" w:eastAsia="宋体" w:cs="宋体"/>
          <w:b/>
          <w:bCs/>
          <w:sz w:val="44"/>
          <w:szCs w:val="44"/>
          <w:lang w:val="en-US" w:eastAsia="zh-CN"/>
        </w:rPr>
        <w:t>新冠肺炎集中医学观察场所管理规范</w:t>
      </w:r>
    </w:p>
    <w:p>
      <w:pPr>
        <w:numPr>
          <w:ilvl w:val="0"/>
          <w:numId w:val="0"/>
        </w:numPr>
        <w:rPr>
          <w:rFonts w:hint="eastAsia" w:ascii="仿宋_GB2312" w:hAnsi="仿宋_GB2312" w:eastAsia="仿宋_GB2312" w:cs="仿宋_GB2312"/>
          <w:b/>
          <w:bCs/>
          <w:sz w:val="32"/>
          <w:szCs w:val="32"/>
          <w:lang w:val="en-US" w:eastAsia="zh-CN"/>
        </w:rPr>
      </w:pP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1、范围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本标准规定了新冠肺炎疫情期间集中医学观察场所管理的术语和定义、基本要求、场所要求、物资配备、人员管理、清洁消毒、个人防护、应急处置等内容。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本标准适用于新冠肺炎疫情期间集中医学观察场所的管理,其它呼吸道传染病适用时可参照执行。</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2、规范性引用文件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下列文件对于本文件的应用是必不可少的,凡是注日期的引用文件,仅注日期的版本适用于本文件,凡是不注日期的引用文件,其最新版本(包括所有的修改单)适用于本文件。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1588 玻璃体温计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14866 个人用眼护具技术要求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19082 医用一次性防护服技术要求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19083 医用防护口罩技术要求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19193 疫源地消毒总则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21417.1医用红外体温计第1部分:耳腔式</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27950 手消毒剂卫生要求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36758含氯消毒剂卫生标准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YY 0469医用外科口罩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YY/T 0969一次性使用医用口罩</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3、术语和定义</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下列术语和定义适用于本文件。</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（1）集中医学观察</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对曾经与传染病病人、疑似病人、无症状感染者有密切接触的人,以及其他需要医学观察的人按传染病的最长潜伏期采取集中隔离措施,观察其健康状况。</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（2）观察对象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疾病预防控制中心等专业机构判定的新冠肺炎确诊病例、疑似病例及无症状感染者的密切接触者以及其他需要集中医学观察的人。</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（3）预防性消毒</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对可能受到病原微生物污染的物品和场所进行的消毒。</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（4）终末消毒</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新冠肺炎确诊病例、疑似病例及无症状感染者离开有关场所后进行的彻底的消毒处理。</w:t>
      </w:r>
    </w:p>
    <w:p>
      <w:pPr>
        <w:numPr>
          <w:ilvl w:val="0"/>
          <w:numId w:val="0"/>
        </w:num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4、基本要求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在政府部门组织领导下开展新冠肺炎疫情防控工作,接受卫生健康部门及疾病预防控制中心的监督和技术指导。</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建立集中医学观察管理组织体系,制定工作制度和应急预案,落实配备管理、医务、消杀、安保等工作人员,承担后勤保障、清洁消毒、健康监测、健康宣教及心理咨询等工作。</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5、场所要求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（1）位置相对独立,远离人口密集区,宜大于500米,不应在医疗机构内。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（2）划分相对独立的医学观察区、办公区、生活区和物品供应区,并明确标识。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（3）设置独立的观察对象进入通道、观察对象离开通道以及工作人员通道,并明确标识。条件不允许的,观察对象离开通道和工作人员通道可合用。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（4）隔离间应具备独立卫生间:通风良好:停用集中通风空调系统。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（5）在相对独立区域设置医疗废物暂时贮存库房,并满足以下要求：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a)应与生活垃圾存放地分开,有防雨淋装置,地基高度应确保库房内不受雨水浸泡；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b)方便医疗废物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c)应有密闭措施,设专人管理,避免非工作人员进入:设置防四害、防盗等设施；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d)应有良好的照明设备和通风条件。库房外宜设有水龙头,方便库房清洗；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e)配备医疗废物专用收集箱；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f）库房外明显处设置警示标识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（6）不宜使用地毯织物。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（7）宜有独立化粪池。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（8）符合消防及其他相关安全的要求。</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6、物资配备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（1）配备符合要求,数量充足的防疫物资,包括但不限于：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个人防护用品:一次性使用医用口罩、医用外科口罩、医用防护口罩、工作服、工作帽、医用一次性防护服、乳胶手套、橡胶手套、长筒胶鞋,防水鞋套、护目镜、防护面屏、防水隔离衣等,一次性使用医用口罩应符合YY/T096的要求,医用外科口罩应符合Y0469的要求,医用防护口罩应符合GB19083的要求,医用一次性防护服应符合GB19082的要求:护目镜应符合GB14866的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b)体温测量设备:红外体温扫描仪或手持体温测量仪、水银体温计。红外体温计与水银体温计应分别符合GB/T21417.1和GB1588规定的安全要求及最大允许误差；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c)消毒药械:洗手液、速干手消毒剂、含氯消毒剂(84消毒液、含氯泡腾片等)、喷雾器、污物袋、移动式紫外线灯等。含氯消毒剂应符合GB/T36758的要求,速干手消毒剂应符合GB27950的要求。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（2）配备足量的食品、饮用水、保暖物资等。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（3）物资的采购、存贮及配发应由专人负责,建立台账并做好登记,及时补充物资。</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7、人员管理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（1）实施封闭管理,不得随意进出,无关人员不得入内。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（2）书面或口头告知观察对象实施医学观察的缘由、期限、法律依据、要求,以及负责集中医学观察的联系人和联系方式。书面告知书参照附录A。</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（3）观察对象应单独居住,不得离开房间,如遇特殊情况,须经管理人员批准。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（4）密切接触者隔离区域与其他观察对象隔离区域应相对独立,避免交叉感染。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（5）医务人员应每天早、晚两次对观察对象测量体温、询问健康状况并记录。条件允许时,观察对象可自测体温、报告健康状况,减少接触机会。健康状况记录表参照附录B。</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（6）所有工作人员每天应开展自我健康监测。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（7）工作人员从工作人员通道进出医学观察区:观察对象从观察对象进入通道进入医学观察区,结束观察后从观察对象离开通道离开医学观察区。观察对象在观察期间进出医学观察区,应走观察对象进入通道。</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8、清洁消毒</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（1）日常清洁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a、保持环境卫生,每日开展清洁。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b、观察对象的生活垃圾应专人定时收集、运送至医疗废物暂时贮存库房,按照医疗废物处理。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c、废弃口罩、手套、防护服等一次性防护用品,按照医疗废物管理。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d、其它怀疑受污染的垃圾均按医疗废物管理。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e、生活垃圾及医疗废物宜日产日清。</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（2）预防性消毒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门把手、水龙头、扶手等经常接触的物体表面应每天使用500mg/L有效氯消毒剂或其它等效消毒剂擦拭消毒,30分钟后清水洗净。观察对象进入通道、观察对象离开通道和工作人员通道所涉及的物体表面应增加消毒频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b、走廊、楼道等公共区域地面应每天使用500mg/L有效氯消毒剂喷洒或拖拭消毒。医学观察公共区域、观察对象进入通道、观察对象离开通道和工作人员通道应增加消毒频次。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c、餐饮具采用煮沸消毒30分钟或用消毒碗柜消毒。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d、精密贵重物品选用75%酒精或消毒湿巾擦拭消毒。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e、毛巾、衣物等织物采用煮沸消毒,或使用500mg/L有效氯消毒剂浸泡30分钟后清水洗净。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化粪池污水宜定期投放含氯消毒剂,作用1.5小时后,使总余氯量达10mg/L,再排入市政排水管网。如无独立化粪池,观察对象宜每次大小便之前向马桶内投入适当的含氯消毒剂,使最终有效浓度达3000/L,作用30分钟后冲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g、医疗废物智时贮存库房应使用1000mg/L-2000mg/L有效氯消毒剂喷酒或拖拭消毒,每日2次,医疗废物清运后应对库房和医疗废物专用收集箱进行清洗消毒。</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（3）终末消毒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观察期间,观察对象转为确诊病例、疑似病例、无症状感染者后,应对其曾居住的隔离间进行终末消毒,具体参考GB19193执行。</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9、个人防护</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（1）所有人员在可能与人接触时应佩戴口罩。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（2）工作人员进入医学观察区应穿戴工作服、医用外科口罩(或以上级别口罩)、乳胶手套和工作帽。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（3）工作人员与病人近距离接触时(如诊疗、转运病人等),应穿戴工作服、医用一次性防护服、防水靴套、医用防护口罩、护目镜和工作帽等。必要时加戴防护面屏。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（4）消毒人员开展预防性消毒时,应穿戴工作服、长筒胶鞋、口罩、橡胶手套和工作帽等,有条件的加戴护目镜。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10、应急处置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（1）发现观察对象或工作人员出现发热、咳嗽、腹泻等症状时,应立即嘱其佩戴口罩,向属地疾病预防控制中心、社区卫生服务中心报告,并联系120急救车转送至定点医院。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（2）如发生新冠肺炎疫情,应配合专业机构开展调查处置。</w:t>
      </w: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 w:hAnsi="仿宋" w:eastAsia="仿宋" w:cs="仿宋"/>
          <w:sz w:val="32"/>
          <w:szCs w:val="32"/>
          <w:lang w:val="en-US" w:eastAsia="zh-CN"/>
        </w:rPr>
      </w:pPr>
    </w:p>
    <w:p>
      <w:pPr>
        <w:ind w:firstLine="600"/>
        <w:rPr>
          <w:rFonts w:hint="eastAsia" w:ascii="仿宋_GB2312" w:hAnsi="宋体" w:eastAsia="仿宋_GB2312" w:cs="Times New Roman"/>
          <w:sz w:val="32"/>
        </w:rPr>
      </w:pPr>
      <w:r>
        <w:rPr>
          <w:rFonts w:hint="eastAsia" w:ascii="仿宋" w:hAnsi="仿宋" w:eastAsia="仿宋" w:cs="仿宋"/>
          <w:sz w:val="32"/>
          <w:szCs w:val="32"/>
          <w:lang w:val="en-US" w:eastAsia="zh-CN"/>
        </w:rPr>
        <w:t xml:space="preserve">                        </w:t>
      </w:r>
      <w:r>
        <w:rPr>
          <w:rFonts w:hint="eastAsia" w:ascii="仿宋" w:hAnsi="仿宋" w:eastAsia="仿宋"/>
          <w:sz w:val="30"/>
          <w:szCs w:val="30"/>
        </w:rPr>
        <w:t xml:space="preserve">                    </w:t>
      </w:r>
      <w:r>
        <w:rPr>
          <w:rFonts w:hint="eastAsia" w:ascii="仿宋" w:hAnsi="仿宋" w:eastAsia="仿宋" w:cs="仿宋"/>
          <w:sz w:val="32"/>
          <w:szCs w:val="32"/>
        </w:rPr>
        <w:t xml:space="preserve">                                   </w:t>
      </w:r>
    </w:p>
    <w:p>
      <w:pPr>
        <w:rPr>
          <w:rFonts w:hint="eastAsia" w:ascii="仿宋_GB2312" w:hAnsi="Calibri" w:eastAsia="仿宋_GB2312" w:cs="Times New Roman"/>
          <w:b/>
          <w:sz w:val="30"/>
          <w:szCs w:val="30"/>
          <w:u w:val="single"/>
        </w:rPr>
      </w:pPr>
      <w:r>
        <w:rPr>
          <w:rFonts w:hint="eastAsia" w:ascii="仿宋_GB2312" w:hAnsi="Calibri" w:eastAsia="仿宋_GB2312" w:cs="Times New Roman"/>
          <w:bCs/>
          <w:sz w:val="30"/>
          <w:szCs w:val="30"/>
          <w:u w:val="single"/>
        </w:rPr>
        <w:t>抄送：</w:t>
      </w:r>
      <w:r>
        <w:rPr>
          <w:rFonts w:hint="eastAsia" w:ascii="仿宋_GB2312" w:eastAsia="仿宋_GB2312" w:cs="Times New Roman"/>
          <w:bCs/>
          <w:sz w:val="30"/>
          <w:szCs w:val="30"/>
          <w:u w:val="single"/>
          <w:lang w:val="en-US" w:eastAsia="zh-CN"/>
        </w:rPr>
        <w:t>残康楼工作人员  医务部  护理部</w:t>
      </w:r>
      <w:bookmarkStart w:id="2" w:name="_GoBack"/>
      <w:bookmarkEnd w:id="2"/>
      <w:r>
        <w:rPr>
          <w:rFonts w:hint="eastAsia" w:ascii="仿宋_GB2312" w:hAnsi="Calibri" w:eastAsia="仿宋_GB2312" w:cs="Times New Roman"/>
          <w:b/>
          <w:sz w:val="30"/>
          <w:szCs w:val="30"/>
          <w:u w:val="single"/>
        </w:rPr>
        <w:t xml:space="preserve">                                           </w:t>
      </w:r>
    </w:p>
    <w:p>
      <w:r>
        <w:rPr>
          <w:rFonts w:hint="eastAsia" w:ascii="仿宋_GB2312" w:hAnsi="Calibri" w:eastAsia="仿宋_GB2312" w:cs="Times New Roman"/>
          <w:sz w:val="30"/>
          <w:szCs w:val="30"/>
          <w:u w:val="single"/>
        </w:rPr>
        <w:t>齐齐哈尔市第一院感染管理</w:t>
      </w:r>
      <w:r>
        <w:rPr>
          <w:rFonts w:hint="eastAsia" w:ascii="仿宋_GB2312" w:eastAsia="仿宋_GB2312" w:cs="Times New Roman"/>
          <w:sz w:val="30"/>
          <w:szCs w:val="30"/>
          <w:u w:val="single"/>
          <w:lang w:val="en-US" w:eastAsia="zh-CN"/>
        </w:rPr>
        <w:t>部</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202</w:t>
      </w:r>
      <w:r>
        <w:rPr>
          <w:rFonts w:hint="eastAsia" w:ascii="仿宋_GB2312" w:eastAsia="仿宋_GB2312" w:cs="Times New Roman"/>
          <w:sz w:val="30"/>
          <w:szCs w:val="30"/>
          <w:u w:val="single"/>
          <w:lang w:val="en-US" w:eastAsia="zh-CN"/>
        </w:rPr>
        <w:t>1</w:t>
      </w:r>
      <w:r>
        <w:rPr>
          <w:rFonts w:hint="eastAsia" w:ascii="仿宋_GB2312" w:hAnsi="Calibri" w:eastAsia="仿宋_GB2312" w:cs="Times New Roman"/>
          <w:sz w:val="30"/>
          <w:szCs w:val="30"/>
          <w:u w:val="single"/>
        </w:rPr>
        <w:t>年1月</w:t>
      </w:r>
      <w:r>
        <w:rPr>
          <w:rFonts w:hint="eastAsia" w:ascii="仿宋_GB2312" w:eastAsia="仿宋_GB2312" w:cs="Times New Roman"/>
          <w:sz w:val="30"/>
          <w:szCs w:val="30"/>
          <w:u w:val="single"/>
          <w:lang w:val="en-US" w:eastAsia="zh-CN"/>
        </w:rPr>
        <w:t>4</w:t>
      </w:r>
      <w:r>
        <w:rPr>
          <w:rFonts w:hint="eastAsia" w:ascii="仿宋_GB2312" w:hAnsi="Calibri" w:eastAsia="仿宋_GB2312" w:cs="Times New Roman"/>
          <w:sz w:val="30"/>
          <w:szCs w:val="30"/>
          <w:u w:val="single"/>
        </w:rPr>
        <w:t>日</w:t>
      </w:r>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4B8E"/>
    <w:rsid w:val="0A6169EC"/>
    <w:rsid w:val="11513265"/>
    <w:rsid w:val="142521C2"/>
    <w:rsid w:val="17897F0C"/>
    <w:rsid w:val="1CE92BE0"/>
    <w:rsid w:val="1D2D2E38"/>
    <w:rsid w:val="23C2101E"/>
    <w:rsid w:val="33381DEB"/>
    <w:rsid w:val="37DA7DF1"/>
    <w:rsid w:val="474E6592"/>
    <w:rsid w:val="4FD02F87"/>
    <w:rsid w:val="501E1823"/>
    <w:rsid w:val="510F3FC5"/>
    <w:rsid w:val="517B00A1"/>
    <w:rsid w:val="52842762"/>
    <w:rsid w:val="5BD051A2"/>
    <w:rsid w:val="5D993E41"/>
    <w:rsid w:val="661839F6"/>
    <w:rsid w:val="67907E68"/>
    <w:rsid w:val="6CF17E6E"/>
    <w:rsid w:val="794F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customStyle="1" w:styleId="7">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2021-01-13T10:07:00Z</dcterms:created>
  <dc:creator>Administrator</dc:creator>
  <cp:lastModifiedBy>Administrator</cp:lastModifiedBy>
  <dcterms:modified xsi:type="dcterms:W3CDTF">2021-01-13T14:42:31Z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